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674"/>
        <w:gridCol w:w="1051"/>
        <w:gridCol w:w="1586"/>
        <w:gridCol w:w="2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8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000000"/>
                <w:sz w:val="44"/>
                <w:szCs w:val="44"/>
                <w:vertAlign w:val="baseline"/>
                <w:lang w:val="en-US" w:eastAsia="zh-CN"/>
              </w:rPr>
              <w:t>广东财经大学收入分配申请表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50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申报单位：（公章）        填表人签名：              年  月  日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16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收入类型</w:t>
            </w:r>
          </w:p>
        </w:tc>
        <w:tc>
          <w:tcPr>
            <w:tcW w:w="723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highlight w:val="red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）培训费收入  （）考试费收入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（）其他收入：（需列明）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>请按照《广东财经大学服务收入管理办法》（粤财大〔2022〕136 号）确定收入类型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92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是否属于一次性分配  （）是  ；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92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是否需要多次分配    （）是，本次是第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次分配   ；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92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是否属于专项经费卡独立核算   （）是  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入账金额共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元，分配金额共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元，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拟申请分配至以下经费卡：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经费名称</w:t>
            </w: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卡号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申请分配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比例</w:t>
            </w: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申请分配金额(单位：元）</w:t>
            </w: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申请分配比例依据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920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收入项目单位负责人意见：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YjAxOThjMzQ1YTA0YzU5YmJiNjdjMzg4MmM0NWMifQ=="/>
  </w:docVars>
  <w:rsids>
    <w:rsidRoot w:val="2CFC521A"/>
    <w:rsid w:val="14287599"/>
    <w:rsid w:val="1AAF61E5"/>
    <w:rsid w:val="2CFC521A"/>
    <w:rsid w:val="2D8A4AED"/>
    <w:rsid w:val="492A0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130</Characters>
  <Lines>0</Lines>
  <Paragraphs>0</Paragraphs>
  <TotalTime>1</TotalTime>
  <ScaleCrop>false</ScaleCrop>
  <LinksUpToDate>false</LinksUpToDate>
  <CharactersWithSpaces>202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2019-11-13T07:40:00Z</dcterms:created>
  <dc:creator>dell</dc:creator>
  <cp:lastModifiedBy>卓力</cp:lastModifiedBy>
  <dcterms:modified xsi:type="dcterms:W3CDTF">2023-05-24T02:08:24Z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7A30CCCF72E84619A82258E3BCBF6FC6_13</vt:lpwstr>
  </property>
</Properties>
</file>